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612A6557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55CB">
              <w:rPr>
                <w:b/>
                <w:bCs/>
                <w:sz w:val="24"/>
                <w:szCs w:val="24"/>
                <w:lang w:val="uk-UA"/>
              </w:rPr>
              <w:t>Дитина раннього віку: все про харчування</w:t>
            </w:r>
          </w:p>
        </w:tc>
      </w:tr>
      <w:tr w:rsidR="00CE1075" w:rsidRPr="00C25150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309771F8" w14:textId="77777777" w:rsidR="00CA55CB" w:rsidRDefault="00CA55CB" w:rsidP="00CA55CB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>Громадська організація «Міжнародна міждисциплінарна асоціація медичних професіоналів»</w:t>
            </w:r>
          </w:p>
          <w:p w14:paraId="40950E9F" w14:textId="77777777" w:rsidR="00CE1075" w:rsidRPr="00CE1075" w:rsidRDefault="00CE107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4F4B6648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CE1075" w:rsidRPr="00C25150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22F71AF1" w:rsidR="00CE1075" w:rsidRPr="00CA55CB" w:rsidRDefault="00CA55CB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CA55CB">
              <w:rPr>
                <w:sz w:val="24"/>
                <w:szCs w:val="24"/>
                <w:lang w:val="uk-UA"/>
              </w:rPr>
              <w:t xml:space="preserve">Педіатрія, Загальна практика - сімейна медицина, Алергологія, Гігієна харчування, Дитяча алергологія, Дитяча гастроентерологія, Дитяча ендокринологія, Дитяча імунологія, Дитяча неврологія,  Дитяча стоматологія, Дитячі інфекційні хвороби, Дієтологія, Ендокринологія,  Імунологія, Інфекційні хвороби, </w:t>
            </w:r>
            <w:proofErr w:type="spellStart"/>
            <w:r w:rsidRPr="00CA55CB">
              <w:rPr>
                <w:sz w:val="24"/>
                <w:szCs w:val="24"/>
                <w:lang w:val="uk-UA"/>
              </w:rPr>
              <w:t>Неонатологія</w:t>
            </w:r>
            <w:proofErr w:type="spellEnd"/>
            <w:r w:rsidRPr="00CA55CB">
              <w:rPr>
                <w:sz w:val="24"/>
                <w:szCs w:val="24"/>
                <w:lang w:val="uk-UA"/>
              </w:rPr>
              <w:t>,  Гастроентерологія, Терапія, Дитяча дерматовенерологія, Дитяча психіатрія,  Терапевтична стоматологія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6227D932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0465365D" w:rsidR="00CE1075" w:rsidRPr="00CE1075" w:rsidRDefault="00860ECF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CA55CB">
              <w:rPr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CE1075" w:rsidRPr="00CE1075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422619FD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Підвищити рівень знань лікарів щодо особливостей харчування і вигодовування  дітей раннього віку; розглянути на прикладі клінічних випадків особливості харчування недоношених дітей, дітей з ускладненнями.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664E8BA1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Навчання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актуальних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відповідної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спеціальності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поєднує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заняття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великих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групах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опанування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теоретичної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під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лекцій</w:t>
            </w:r>
            <w:proofErr w:type="spellEnd"/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74E2E135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7E8A476F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06.04.2023</w:t>
            </w:r>
          </w:p>
        </w:tc>
      </w:tr>
      <w:tr w:rsidR="00CE1075" w:rsidRPr="00C25150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0394447B" w:rsidR="00CE1075" w:rsidRPr="00CE1075" w:rsidRDefault="00CA55CB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r>
              <w:rPr>
                <w:color w:val="000000"/>
                <w:shd w:val="clear" w:color="auto" w:fill="FFFFFF"/>
                <w:lang w:val="ru-RU"/>
              </w:rPr>
              <w:t>Онлайн</w:t>
            </w:r>
            <w:bookmarkEnd w:id="0"/>
          </w:p>
        </w:tc>
      </w:tr>
      <w:tr w:rsidR="00CE1075" w:rsidRPr="00C25150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34D61282" w14:textId="12A6B8EC" w:rsidR="009D6C1E" w:rsidRPr="009D6C1E" w:rsidRDefault="009D6C1E" w:rsidP="009D6C1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Маслак Юліана Олександрівна</w:t>
            </w:r>
          </w:p>
          <w:p w14:paraId="1390CA77" w14:textId="56C614C1" w:rsidR="009D6C1E" w:rsidRPr="009D6C1E" w:rsidRDefault="009D6C1E" w:rsidP="009D6C1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Балясна</w:t>
            </w:r>
            <w:proofErr w:type="spellEnd"/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Олександра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Валеріївна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34B3E46A" w14:textId="77777777" w:rsidR="009D6C1E" w:rsidRPr="009D6C1E" w:rsidRDefault="009D6C1E" w:rsidP="009D6C1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Александрова Юлія Миколаївна</w:t>
            </w:r>
          </w:p>
          <w:p w14:paraId="744E7E49" w14:textId="432058DC" w:rsidR="009D6C1E" w:rsidRPr="009D6C1E" w:rsidRDefault="009D6C1E" w:rsidP="009D6C1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Руселевич</w:t>
            </w:r>
            <w:proofErr w:type="spellEnd"/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 xml:space="preserve">Майя </w:t>
            </w:r>
            <w:proofErr w:type="spellStart"/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Вікторіна</w:t>
            </w:r>
            <w:proofErr w:type="spellEnd"/>
          </w:p>
          <w:p w14:paraId="024FB72D" w14:textId="3A739FF1" w:rsidR="009D6C1E" w:rsidRPr="009D6C1E" w:rsidRDefault="009D6C1E" w:rsidP="009D6C1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Горобець</w:t>
            </w: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 xml:space="preserve">Анастасії Олександрівни </w:t>
            </w:r>
          </w:p>
          <w:p w14:paraId="59E3C60D" w14:textId="0E370D30" w:rsidR="00CE1075" w:rsidRPr="00CA55CB" w:rsidRDefault="00860ECF" w:rsidP="009D6C1E">
            <w:pPr>
              <w:pStyle w:val="a5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uk-UA"/>
              </w:rPr>
            </w:pP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>Білоусова</w:t>
            </w:r>
            <w:r w:rsidRPr="009D6C1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9D6C1E" w:rsidRPr="009D6C1E">
              <w:rPr>
                <w:rFonts w:ascii="Arial" w:hAnsi="Arial" w:cs="Arial"/>
                <w:sz w:val="20"/>
                <w:szCs w:val="20"/>
                <w:lang w:val="uk-UA"/>
              </w:rPr>
              <w:t xml:space="preserve">Ольга Юріївна </w:t>
            </w:r>
          </w:p>
        </w:tc>
      </w:tr>
      <w:tr w:rsidR="00CE1075" w:rsidRPr="00CE1075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CA55CB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14A436D7" w14:textId="5730C7A2" w:rsidR="00860ECF" w:rsidRPr="00860ECF" w:rsidRDefault="00860ECF" w:rsidP="00860EC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 xml:space="preserve">Дитячий та підлітковий психіатр, акредитований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когнітивно-поведінковой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 психотерапевт</w:t>
            </w:r>
          </w:p>
          <w:p w14:paraId="7AD88828" w14:textId="120096ED" w:rsidR="00860ECF" w:rsidRPr="00860ECF" w:rsidRDefault="00860ECF" w:rsidP="00860EC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 xml:space="preserve">Голова та спів-засновниця ГО «Асоціація батьків передчасно </w:t>
            </w:r>
            <w:r w:rsidRPr="00860ECF">
              <w:rPr>
                <w:sz w:val="24"/>
                <w:szCs w:val="24"/>
                <w:lang w:val="uk-UA"/>
              </w:rPr>
              <w:lastRenderedPageBreak/>
              <w:t xml:space="preserve">народжених дітей Ранні пташки» </w:t>
            </w:r>
          </w:p>
          <w:p w14:paraId="5FEC4D42" w14:textId="28D89AF9" w:rsidR="00860ECF" w:rsidRPr="00860ECF" w:rsidRDefault="00860ECF" w:rsidP="00860EC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60ECF">
              <w:rPr>
                <w:sz w:val="24"/>
                <w:szCs w:val="24"/>
                <w:lang w:val="uk-UA"/>
              </w:rPr>
              <w:t>Перинатальний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 психолог ГО «Асоціація батьків передчасно народжених дітей Ранні пташки»</w:t>
            </w:r>
          </w:p>
          <w:p w14:paraId="075CB805" w14:textId="33F15157" w:rsidR="00860ECF" w:rsidRPr="00860ECF" w:rsidRDefault="00860ECF" w:rsidP="00860EC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 xml:space="preserve">Педіатр, алерголог,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пульмонолог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, кандидатка медичних наук, засновниця та власниця медичного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алергоцентру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B_Health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 у м. Ірпінь</w:t>
            </w:r>
          </w:p>
          <w:p w14:paraId="0B0C3F88" w14:textId="2332342C" w:rsidR="00860ECF" w:rsidRPr="00860ECF" w:rsidRDefault="00860ECF" w:rsidP="00860EC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>Д</w:t>
            </w:r>
            <w:r w:rsidRPr="00860ECF">
              <w:rPr>
                <w:sz w:val="24"/>
                <w:szCs w:val="24"/>
                <w:lang w:val="uk-UA"/>
              </w:rPr>
              <w:t xml:space="preserve">оцент кафедри педіатрії 1 НМУ ОО Богомольця,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к.м.н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>., лікар-педіатр вищої категорії, дієтолог</w:t>
            </w:r>
          </w:p>
          <w:p w14:paraId="3AC68784" w14:textId="59F0DC1E" w:rsidR="00CE1075" w:rsidRPr="00860ECF" w:rsidRDefault="00860ECF" w:rsidP="00860ECF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>Д</w:t>
            </w:r>
            <w:r w:rsidRPr="00860ECF">
              <w:rPr>
                <w:sz w:val="24"/>
                <w:szCs w:val="24"/>
                <w:lang w:val="uk-UA"/>
              </w:rPr>
              <w:t xml:space="preserve">октор медичних наук, професор, завідуюча кафедрою педіатрії та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 №3 ННІПО ХНМУ, Голова комітету Спеціалізованої допомоги дітям ГО "Українська академія педіатричних спеціальностей"</w:t>
            </w:r>
          </w:p>
        </w:tc>
      </w:tr>
      <w:tr w:rsidR="00CE1075" w:rsidRPr="00CE107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CA55CB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7A6369D1" w14:textId="7C1F1267" w:rsidR="00860ECF" w:rsidRPr="00860ECF" w:rsidRDefault="00860ECF" w:rsidP="00860EC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>Зайва/недостатня вага у дітей — психологічний аспект</w:t>
            </w:r>
          </w:p>
          <w:p w14:paraId="601E136D" w14:textId="6BA0AE82" w:rsidR="00860ECF" w:rsidRPr="00860ECF" w:rsidRDefault="00860ECF" w:rsidP="00860EC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 xml:space="preserve">Харчування передчасно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народженних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 дітей. </w:t>
            </w:r>
          </w:p>
          <w:p w14:paraId="2463A0B2" w14:textId="5BE29EB4" w:rsidR="00860ECF" w:rsidRDefault="00860ECF" w:rsidP="00860EC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 xml:space="preserve">Харчування передчасно </w:t>
            </w:r>
            <w:proofErr w:type="spellStart"/>
            <w:r w:rsidRPr="00860ECF">
              <w:rPr>
                <w:sz w:val="24"/>
                <w:szCs w:val="24"/>
                <w:lang w:val="uk-UA"/>
              </w:rPr>
              <w:t>народженних</w:t>
            </w:r>
            <w:proofErr w:type="spellEnd"/>
            <w:r w:rsidRPr="00860ECF">
              <w:rPr>
                <w:sz w:val="24"/>
                <w:szCs w:val="24"/>
                <w:lang w:val="uk-UA"/>
              </w:rPr>
              <w:t xml:space="preserve"> дітей. </w:t>
            </w:r>
          </w:p>
          <w:p w14:paraId="51E160C4" w14:textId="35BF0492" w:rsidR="00860ECF" w:rsidRPr="00860ECF" w:rsidRDefault="00860ECF" w:rsidP="00860EC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>Алергія в харчуванні дитини до 3 років</w:t>
            </w:r>
          </w:p>
          <w:p w14:paraId="4E4A0E8D" w14:textId="77777777" w:rsidR="00860ECF" w:rsidRPr="00860ECF" w:rsidRDefault="00860ECF" w:rsidP="00860EC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>Принципи формування харчової поведінки дитини</w:t>
            </w:r>
          </w:p>
          <w:p w14:paraId="65FDB496" w14:textId="4F11F08E" w:rsidR="00CE1075" w:rsidRPr="00860ECF" w:rsidRDefault="00860ECF" w:rsidP="00860ECF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  <w:lang w:val="uk-UA"/>
              </w:rPr>
            </w:pPr>
            <w:r w:rsidRPr="00860ECF">
              <w:rPr>
                <w:sz w:val="24"/>
                <w:szCs w:val="24"/>
                <w:lang w:val="uk-UA"/>
              </w:rPr>
              <w:t>Непереносимість лактози у дітей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60ECF">
              <w:rPr>
                <w:sz w:val="24"/>
                <w:szCs w:val="24"/>
                <w:lang w:val="uk-UA"/>
              </w:rPr>
              <w:t>раннього віку: погляд гастроентеролога</w:t>
            </w:r>
          </w:p>
        </w:tc>
      </w:tr>
      <w:tr w:rsidR="00CE1075" w:rsidRPr="00C25150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860EC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77777777" w:rsidR="00CE1075" w:rsidRPr="00CE1075" w:rsidRDefault="00CE107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25150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860EC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05DF8BB1" w:rsidR="00CE1075" w:rsidRPr="00CE1075" w:rsidRDefault="00860ECF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860EC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56E03FDA" w:rsidR="00CE1075" w:rsidRPr="00CE1075" w:rsidRDefault="00860ECF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C25150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860ECF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0BD27F51" w:rsidR="00D43DDE" w:rsidRPr="004B1191" w:rsidRDefault="00D43DDE" w:rsidP="009C6465">
      <w:pPr>
        <w:pStyle w:val="a3"/>
        <w:ind w:left="0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2C58" w14:textId="77777777" w:rsidR="007E2475" w:rsidRDefault="007E2475">
      <w:r>
        <w:separator/>
      </w:r>
    </w:p>
  </w:endnote>
  <w:endnote w:type="continuationSeparator" w:id="0">
    <w:p w14:paraId="51C5605F" w14:textId="77777777" w:rsidR="007E2475" w:rsidRDefault="007E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7E247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32F5" w14:textId="77777777" w:rsidR="007E2475" w:rsidRDefault="007E2475">
      <w:r>
        <w:separator/>
      </w:r>
    </w:p>
  </w:footnote>
  <w:footnote w:type="continuationSeparator" w:id="0">
    <w:p w14:paraId="607B25A1" w14:textId="77777777" w:rsidR="007E2475" w:rsidRDefault="007E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D5A"/>
    <w:multiLevelType w:val="hybridMultilevel"/>
    <w:tmpl w:val="DB447DAC"/>
    <w:lvl w:ilvl="0" w:tplc="3BAC7E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722"/>
    <w:multiLevelType w:val="hybridMultilevel"/>
    <w:tmpl w:val="924A88AA"/>
    <w:lvl w:ilvl="0" w:tplc="3BAC7E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362C"/>
    <w:multiLevelType w:val="multilevel"/>
    <w:tmpl w:val="4220492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14C38"/>
    <w:multiLevelType w:val="hybridMultilevel"/>
    <w:tmpl w:val="D4DEE902"/>
    <w:lvl w:ilvl="0" w:tplc="0422000F">
      <w:start w:val="1"/>
      <w:numFmt w:val="decimal"/>
      <w:lvlText w:val="%1."/>
      <w:lvlJc w:val="left"/>
      <w:pPr>
        <w:ind w:left="1080" w:hanging="360"/>
      </w:pPr>
      <w:rPr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13FDC"/>
    <w:multiLevelType w:val="hybridMultilevel"/>
    <w:tmpl w:val="0596B9C0"/>
    <w:lvl w:ilvl="0" w:tplc="5FE40B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3716E5"/>
    <w:rsid w:val="004B1191"/>
    <w:rsid w:val="00564D84"/>
    <w:rsid w:val="0079789F"/>
    <w:rsid w:val="007B20C6"/>
    <w:rsid w:val="007E2475"/>
    <w:rsid w:val="00860ECF"/>
    <w:rsid w:val="009C6465"/>
    <w:rsid w:val="009D6C1E"/>
    <w:rsid w:val="00A4355B"/>
    <w:rsid w:val="00B42D8E"/>
    <w:rsid w:val="00C25150"/>
    <w:rsid w:val="00CA55CB"/>
    <w:rsid w:val="00CE1075"/>
    <w:rsid w:val="00D43DDE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2149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Бухгалтер-фінансист</cp:lastModifiedBy>
  <cp:revision>2</cp:revision>
  <dcterms:created xsi:type="dcterms:W3CDTF">2023-03-16T14:49:00Z</dcterms:created>
  <dcterms:modified xsi:type="dcterms:W3CDTF">2023-03-16T14:49:00Z</dcterms:modified>
</cp:coreProperties>
</file>